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723" w:rsidRPr="00DF5723" w:rsidRDefault="00DF5723" w:rsidP="00DF5723">
      <w:pPr>
        <w:spacing w:line="276" w:lineRule="auto"/>
        <w:jc w:val="center"/>
        <w:rPr>
          <w:rFonts w:asciiTheme="majorHAnsi" w:hAnsiTheme="majorHAnsi" w:cs="Arial"/>
          <w:b/>
          <w:bCs/>
          <w:sz w:val="24"/>
          <w:szCs w:val="24"/>
          <w:u w:val="single"/>
          <w:lang w:val="fr-FR"/>
        </w:rPr>
      </w:pPr>
      <w:r w:rsidRPr="00DF5723">
        <w:rPr>
          <w:rFonts w:asciiTheme="majorHAnsi" w:hAnsiTheme="majorHAnsi" w:cs="Arial"/>
          <w:b/>
          <w:bCs/>
          <w:sz w:val="24"/>
          <w:szCs w:val="24"/>
          <w:u w:val="single"/>
          <w:lang w:val="fr-FR"/>
        </w:rPr>
        <w:t>Module C Exercice 4</w:t>
      </w:r>
      <w:r>
        <w:rPr>
          <w:rFonts w:asciiTheme="majorHAnsi" w:hAnsiTheme="majorHAnsi" w:cs="Arial"/>
          <w:b/>
          <w:bCs/>
          <w:sz w:val="24"/>
          <w:szCs w:val="24"/>
          <w:u w:val="single"/>
          <w:lang w:val="fr-FR"/>
        </w:rPr>
        <w:t xml:space="preserve"> - </w:t>
      </w:r>
      <w:r w:rsidRPr="00DF5723">
        <w:rPr>
          <w:rFonts w:asciiTheme="majorHAnsi" w:hAnsiTheme="majorHAnsi" w:cs="Arial"/>
          <w:b/>
          <w:bCs/>
          <w:sz w:val="24"/>
          <w:szCs w:val="24"/>
          <w:u w:val="single"/>
          <w:lang w:val="fr-FR"/>
        </w:rPr>
        <w:t xml:space="preserve">Protocoles de protection des données </w:t>
      </w:r>
      <w:bookmarkStart w:id="0" w:name="_GoBack"/>
      <w:bookmarkEnd w:id="0"/>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lang w:val="fr-FR"/>
        </w:rPr>
      </w:pPr>
      <w:r w:rsidRPr="00DF5723">
        <w:rPr>
          <w:rFonts w:asciiTheme="majorHAnsi" w:hAnsiTheme="majorHAnsi" w:cs="Arial"/>
          <w:lang w:val="fr-FR"/>
        </w:rPr>
        <w:t xml:space="preserve">Le document suivant reflète les meilleures pratiques de protection des données et doit servir de guide lors de l’élaboration des protocoles de protection des données pour votre programme. Les informations ci-dessus doivent être étudiées et adaptées afin de répondre aux spécificités du pays et du contexte dans lequel vous travaillez.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lang w:val="fr-FR"/>
        </w:rPr>
      </w:pPr>
      <w:r w:rsidRPr="00DF5723">
        <w:rPr>
          <w:rFonts w:asciiTheme="majorHAnsi" w:hAnsiTheme="majorHAnsi" w:cs="Arial"/>
          <w:lang w:val="fr-FR"/>
        </w:rPr>
        <w:t>Il est important de rappeler que les informations relatives aux enfants appartiennent aux enfants. Les personnes qui détiennent ces informations agissent au nom des enfants et doivent les utiliser uniquement dans l’intérêt supérieur de ces enfants et avec leur consentement éclairé. Les protocoles de protection des données suivants reposent sur le concept de confidentialité, qui est une composante centrale des principes de l’intérêt supérieur de l’enfant et de la participation des enfants</w:t>
      </w:r>
      <w:r w:rsidRPr="00DF5723">
        <w:rPr>
          <w:rStyle w:val="FootnoteReference"/>
          <w:rFonts w:asciiTheme="majorHAnsi" w:hAnsiTheme="majorHAnsi" w:cs="Arial"/>
          <w:lang w:val="fr-FR"/>
        </w:rPr>
        <w:footnoteReference w:id="1"/>
      </w:r>
      <w:r w:rsidRPr="00DF5723">
        <w:rPr>
          <w:rFonts w:asciiTheme="majorHAnsi" w:hAnsiTheme="majorHAnsi" w:cs="Arial"/>
          <w:lang w:val="fr-FR"/>
        </w:rPr>
        <w:t xml:space="preserve">.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lang w:val="fr-FR"/>
        </w:rPr>
      </w:pPr>
      <w:r w:rsidRPr="00DF5723">
        <w:rPr>
          <w:rFonts w:asciiTheme="majorHAnsi" w:hAnsiTheme="majorHAnsi" w:cs="Arial"/>
          <w:lang w:val="fr-FR"/>
        </w:rPr>
        <w:t xml:space="preserve">La confidentialité signifie garantir que les informations qui vous sont transmises par l’enfant ne sont pas utilisées sans son consentement ou contre sa volonté et ne sont pas partagées avec d’autres personnes sans sa permission, à l’exception de circonstances exceptionnelles, notamment lorsque des questions graves de sécurité se posent (voire le point 8) ou lorsque les prestataires sont tenus par la loi à dénoncer des abus (voir le point 9). Les informations peuvent être stockées ou transmises verbalement, sur papier ou par données électroniques.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lang w:val="fr-FR"/>
        </w:rPr>
      </w:pPr>
      <w:r w:rsidRPr="00DF5723">
        <w:rPr>
          <w:rFonts w:asciiTheme="majorHAnsi" w:hAnsiTheme="majorHAnsi" w:cs="Arial"/>
          <w:lang w:val="fr-FR"/>
        </w:rPr>
        <w:t xml:space="preserve">La confidentialité est dans le meilleur intérêt d’un enfant parce qu’elle empêche toute utilisation abusive de leurs informations à des fins échappant à leur contrôle, y compris pour des motifs menant à leur exploitation, leur stigmatisation et des mauvais traitements à leur encontre, que ce soit intentionnel ou non intentionnel. Elle permet également d’assurer que leurs points de vue et opinions sont entendus et respectés à tout moment.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jc w:val="center"/>
        <w:rPr>
          <w:rFonts w:asciiTheme="majorHAnsi" w:hAnsiTheme="majorHAnsi" w:cs="Arial"/>
          <w:b/>
          <w:u w:val="single"/>
          <w:lang w:val="fr-FR"/>
        </w:rPr>
      </w:pPr>
      <w:r w:rsidRPr="00DF5723">
        <w:rPr>
          <w:rFonts w:asciiTheme="majorHAnsi" w:hAnsiTheme="majorHAnsi" w:cs="Arial"/>
          <w:b/>
          <w:bCs/>
          <w:u w:val="single"/>
          <w:lang w:val="fr-FR"/>
        </w:rPr>
        <w:t>Définitions clés :</w:t>
      </w:r>
    </w:p>
    <w:p w:rsidR="00DF5723" w:rsidRPr="00DF5723" w:rsidRDefault="00DF5723" w:rsidP="00DF5723">
      <w:pPr>
        <w:tabs>
          <w:tab w:val="left" w:pos="1440"/>
          <w:tab w:val="left" w:pos="1890"/>
          <w:tab w:val="left" w:pos="2160"/>
        </w:tabs>
        <w:spacing w:before="120" w:after="120"/>
        <w:ind w:left="1890" w:hanging="1890"/>
        <w:rPr>
          <w:rFonts w:asciiTheme="majorHAnsi" w:hAnsiTheme="majorHAnsi" w:cs="Arial"/>
          <w:sz w:val="20"/>
          <w:szCs w:val="20"/>
          <w:lang w:val="fr-FR"/>
        </w:rPr>
      </w:pPr>
      <w:r w:rsidRPr="00DF5723">
        <w:rPr>
          <w:rFonts w:asciiTheme="majorHAnsi" w:hAnsiTheme="majorHAnsi" w:cs="Arial"/>
          <w:b/>
          <w:bCs/>
          <w:i/>
          <w:iCs/>
          <w:sz w:val="20"/>
          <w:szCs w:val="20"/>
          <w:lang w:val="fr-FR"/>
        </w:rPr>
        <w:t>Confidentialité :</w:t>
      </w:r>
      <w:r w:rsidRPr="00DF5723">
        <w:rPr>
          <w:rFonts w:asciiTheme="majorHAnsi" w:hAnsiTheme="majorHAnsi" w:cs="Arial"/>
          <w:b/>
          <w:bCs/>
          <w:i/>
          <w:iCs/>
          <w:sz w:val="20"/>
          <w:szCs w:val="20"/>
          <w:lang w:val="fr-FR"/>
        </w:rPr>
        <w:tab/>
      </w:r>
      <w:r w:rsidRPr="00DF5723">
        <w:rPr>
          <w:rFonts w:asciiTheme="majorHAnsi" w:hAnsiTheme="majorHAnsi" w:cs="Arial"/>
          <w:sz w:val="20"/>
          <w:szCs w:val="20"/>
          <w:lang w:val="fr-FR"/>
        </w:rPr>
        <w:t>Principe selon lequel les prestataires doivent protéger les informations collectées au sujet des clients et garantir qu’elles ne sont accessibles qu’avec l’autorisation expresse du client</w:t>
      </w:r>
      <w:r w:rsidRPr="00DF5723">
        <w:rPr>
          <w:rFonts w:asciiTheme="majorHAnsi" w:hAnsiTheme="majorHAnsi" w:cs="Arial"/>
          <w:sz w:val="20"/>
          <w:szCs w:val="20"/>
          <w:lang w:val="fr-FR"/>
        </w:rPr>
        <w:tab/>
      </w:r>
    </w:p>
    <w:p w:rsidR="00DF5723" w:rsidRPr="00DF5723" w:rsidRDefault="00DF5723" w:rsidP="00DF5723">
      <w:pPr>
        <w:tabs>
          <w:tab w:val="left" w:pos="1890"/>
        </w:tabs>
        <w:spacing w:before="120" w:after="120"/>
        <w:ind w:left="1890" w:hanging="1890"/>
        <w:rPr>
          <w:rFonts w:asciiTheme="majorHAnsi" w:hAnsiTheme="majorHAnsi" w:cs="Arial"/>
          <w:b/>
          <w:i/>
          <w:sz w:val="20"/>
          <w:szCs w:val="20"/>
          <w:lang w:val="fr-FR"/>
        </w:rPr>
      </w:pPr>
      <w:r w:rsidRPr="00DF5723">
        <w:rPr>
          <w:rFonts w:asciiTheme="majorHAnsi" w:hAnsiTheme="majorHAnsi" w:cs="Arial"/>
          <w:b/>
          <w:bCs/>
          <w:i/>
          <w:iCs/>
          <w:sz w:val="20"/>
          <w:szCs w:val="20"/>
          <w:lang w:val="fr-FR"/>
        </w:rPr>
        <w:t xml:space="preserve">Consentement éclairé : </w:t>
      </w:r>
      <w:r w:rsidRPr="00DF5723">
        <w:rPr>
          <w:rFonts w:asciiTheme="majorHAnsi" w:hAnsiTheme="majorHAnsi" w:cs="Arial"/>
          <w:b/>
          <w:bCs/>
          <w:i/>
          <w:iCs/>
          <w:sz w:val="20"/>
          <w:szCs w:val="20"/>
          <w:lang w:val="fr-FR"/>
        </w:rPr>
        <w:tab/>
      </w:r>
      <w:r w:rsidRPr="00DF5723">
        <w:rPr>
          <w:rFonts w:asciiTheme="majorHAnsi" w:hAnsiTheme="majorHAnsi" w:cs="Arial"/>
          <w:sz w:val="20"/>
          <w:szCs w:val="20"/>
          <w:lang w:val="fr-FR"/>
        </w:rPr>
        <w:t>Accord volontaire d’une personne qui a la capacité de comprendre et qui exerce son choix libre de recevoir des services (pour les enfants et les adultes âgés de 15 ans et plus</w:t>
      </w:r>
      <w:r w:rsidRPr="00DF5723">
        <w:rPr>
          <w:rStyle w:val="FootnoteReference"/>
          <w:rFonts w:asciiTheme="majorHAnsi" w:hAnsiTheme="majorHAnsi"/>
          <w:sz w:val="20"/>
          <w:szCs w:val="20"/>
          <w:lang w:val="fr-FR"/>
        </w:rPr>
        <w:footnoteReference w:id="2"/>
      </w:r>
      <w:r w:rsidRPr="00DF5723">
        <w:rPr>
          <w:rFonts w:asciiTheme="majorHAnsi" w:hAnsiTheme="majorHAnsi" w:cs="Arial"/>
          <w:sz w:val="20"/>
          <w:szCs w:val="20"/>
          <w:lang w:val="fr-FR"/>
        </w:rPr>
        <w:t>). Il exige des travailleurs sociaux qu’ils partagent les informations relatives aux services et les risques potentiels liés à un tel partage d’informations</w:t>
      </w:r>
    </w:p>
    <w:p w:rsidR="00DF5723" w:rsidRPr="00DF5723" w:rsidRDefault="00DF5723" w:rsidP="00DF5723">
      <w:pPr>
        <w:tabs>
          <w:tab w:val="left" w:pos="1890"/>
        </w:tabs>
        <w:spacing w:before="120" w:after="120"/>
        <w:ind w:left="1890" w:hanging="1890"/>
        <w:rPr>
          <w:rFonts w:asciiTheme="majorHAnsi" w:hAnsiTheme="majorHAnsi" w:cs="Arial"/>
          <w:sz w:val="20"/>
          <w:szCs w:val="20"/>
          <w:lang w:val="fr-FR"/>
        </w:rPr>
      </w:pPr>
      <w:r w:rsidRPr="00DF5723">
        <w:rPr>
          <w:rFonts w:asciiTheme="majorHAnsi" w:hAnsiTheme="majorHAnsi" w:cs="Arial"/>
          <w:b/>
          <w:bCs/>
          <w:i/>
          <w:iCs/>
          <w:sz w:val="20"/>
          <w:szCs w:val="20"/>
          <w:lang w:val="fr-FR"/>
        </w:rPr>
        <w:t xml:space="preserve">Accord éclairé : </w:t>
      </w:r>
      <w:r w:rsidRPr="00DF5723">
        <w:rPr>
          <w:rFonts w:asciiTheme="majorHAnsi" w:hAnsiTheme="majorHAnsi" w:cs="Arial"/>
          <w:sz w:val="20"/>
          <w:szCs w:val="20"/>
          <w:lang w:val="fr-FR"/>
        </w:rPr>
        <w:tab/>
        <w:t>Volonté exprimée de participer aux services pour les enfants de moins de 15</w:t>
      </w:r>
      <w:r w:rsidRPr="00DF5723">
        <w:rPr>
          <w:rStyle w:val="FootnoteReference"/>
          <w:rFonts w:asciiTheme="majorHAnsi" w:hAnsiTheme="majorHAnsi"/>
          <w:sz w:val="20"/>
          <w:szCs w:val="20"/>
          <w:lang w:val="fr-FR"/>
        </w:rPr>
        <w:footnoteReference w:id="3"/>
      </w:r>
      <w:r w:rsidRPr="00DF5723">
        <w:rPr>
          <w:rFonts w:asciiTheme="majorHAnsi" w:hAnsiTheme="majorHAnsi" w:cs="Arial"/>
          <w:sz w:val="20"/>
          <w:szCs w:val="20"/>
          <w:lang w:val="fr-FR"/>
        </w:rPr>
        <w:t> ans. Il exige le même partage d’informations (de façon adéquate pour l’enfant) sur les services et les risques potentiels</w:t>
      </w:r>
    </w:p>
    <w:p w:rsidR="00DF5723" w:rsidRPr="00DF5723" w:rsidRDefault="00DF5723" w:rsidP="00DF5723">
      <w:pPr>
        <w:tabs>
          <w:tab w:val="left" w:pos="1080"/>
          <w:tab w:val="left" w:pos="1440"/>
          <w:tab w:val="left" w:pos="1890"/>
          <w:tab w:val="left" w:pos="2520"/>
        </w:tabs>
        <w:spacing w:before="120" w:after="120"/>
        <w:ind w:left="1890" w:hanging="1890"/>
        <w:rPr>
          <w:rFonts w:asciiTheme="majorHAnsi" w:hAnsiTheme="majorHAnsi" w:cs="Arial"/>
          <w:sz w:val="20"/>
          <w:szCs w:val="20"/>
          <w:lang w:val="fr-FR"/>
        </w:rPr>
      </w:pPr>
      <w:r w:rsidRPr="00DF5723">
        <w:rPr>
          <w:rFonts w:asciiTheme="majorHAnsi" w:hAnsiTheme="majorHAnsi" w:cs="Arial"/>
          <w:b/>
          <w:bCs/>
          <w:i/>
          <w:iCs/>
          <w:sz w:val="20"/>
          <w:szCs w:val="20"/>
          <w:lang w:val="fr-FR"/>
        </w:rPr>
        <w:t>Déclaration obligatoire :</w:t>
      </w:r>
      <w:r w:rsidRPr="00DF5723">
        <w:rPr>
          <w:rFonts w:asciiTheme="majorHAnsi" w:hAnsiTheme="majorHAnsi" w:cs="Arial"/>
          <w:sz w:val="20"/>
          <w:szCs w:val="20"/>
          <w:lang w:val="fr-FR"/>
        </w:rPr>
        <w:t xml:space="preserve"> le terme utilisé pour décrire les systèmes juridiques et statutaires qui exigent des prestataires un rapport au sujet de certaines catégories de crimes ou abus (exemple : la violence sexuelle, la violence faite aux enfants, etc.) ; </w:t>
      </w:r>
      <w:r w:rsidRPr="00DF5723">
        <w:rPr>
          <w:rFonts w:asciiTheme="majorHAnsi" w:hAnsiTheme="majorHAnsi" w:cs="Arial"/>
          <w:sz w:val="20"/>
          <w:szCs w:val="20"/>
          <w:lang w:val="fr-FR"/>
        </w:rPr>
        <w:lastRenderedPageBreak/>
        <w:t>l’intérêt supérieur de l’enfant doit être considéré lorsque les organisations pensent à se conformer ou non à de telles politiques</w:t>
      </w:r>
      <w:r w:rsidRPr="00DF5723">
        <w:rPr>
          <w:rFonts w:asciiTheme="majorHAnsi" w:hAnsiTheme="majorHAnsi" w:cs="Arial"/>
          <w:sz w:val="20"/>
          <w:szCs w:val="20"/>
          <w:lang w:val="fr-FR"/>
        </w:rPr>
        <w:tab/>
        <w:t xml:space="preserve"> </w:t>
      </w:r>
    </w:p>
    <w:p w:rsidR="00DF5723" w:rsidRPr="00DF5723" w:rsidRDefault="00DF5723" w:rsidP="00DF5723">
      <w:pPr>
        <w:tabs>
          <w:tab w:val="left" w:pos="1080"/>
          <w:tab w:val="left" w:pos="1440"/>
          <w:tab w:val="left" w:pos="1890"/>
        </w:tabs>
        <w:spacing w:before="120" w:after="120"/>
        <w:ind w:left="1890" w:hanging="1890"/>
        <w:rPr>
          <w:rFonts w:asciiTheme="majorHAnsi" w:hAnsiTheme="majorHAnsi" w:cs="Arial"/>
          <w:sz w:val="20"/>
          <w:szCs w:val="20"/>
          <w:lang w:val="fr-FR"/>
        </w:rPr>
      </w:pPr>
      <w:r w:rsidRPr="00DF5723">
        <w:rPr>
          <w:rFonts w:asciiTheme="majorHAnsi" w:hAnsiTheme="majorHAnsi" w:cs="Arial"/>
          <w:b/>
          <w:bCs/>
          <w:i/>
          <w:iCs/>
          <w:sz w:val="20"/>
          <w:szCs w:val="20"/>
          <w:lang w:val="fr-FR"/>
        </w:rPr>
        <w:t xml:space="preserve">Besoin de savoir : </w:t>
      </w:r>
      <w:r w:rsidRPr="00DF5723">
        <w:rPr>
          <w:rFonts w:asciiTheme="majorHAnsi" w:hAnsiTheme="majorHAnsi" w:cs="Arial"/>
          <w:sz w:val="20"/>
          <w:szCs w:val="20"/>
          <w:lang w:val="fr-FR"/>
        </w:rPr>
        <w:tab/>
        <w:t>le fait de limiter les informations considérées sensibles et de les partager uniquement avec les personnes pour qui les informations permettront de protéger l’enfant</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b/>
          <w:lang w:val="fr-FR"/>
        </w:rPr>
      </w:pPr>
      <w:r w:rsidRPr="00DF5723">
        <w:rPr>
          <w:rFonts w:asciiTheme="majorHAnsi" w:hAnsiTheme="majorHAnsi" w:cs="Arial"/>
          <w:b/>
          <w:bCs/>
          <w:lang w:val="fr-FR"/>
        </w:rPr>
        <w:t>Protections des données générales</w:t>
      </w: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Il est important de bien comprendre le contexte dans lequel vous travaillez. Avant d’utiliser la base de données, une évaluation doit être effectuée qui étudie toutes les lois nationales de protection des données en vigueur et les implications possibles qu’elles pourraient avoir pour le personnel et les organisations concernés. Ce processus doit également tenir compte du niveau de la sensibilité des données qui seront collectées en rapport aux risques de sécurité spécifiques au contexte. Dans les cas où les données devront être partagées ou transférées au-delà des frontières, les organisations doivent considérer les obstacles potentiels à la protection des données (exemple : les responsables de la sécurité aux frontières qui peuvent solliciter l’accès aux données). </w:t>
      </w:r>
    </w:p>
    <w:p w:rsidR="00DF5723" w:rsidRPr="00DF5723" w:rsidRDefault="00DF5723" w:rsidP="00DF5723">
      <w:pPr>
        <w:spacing w:line="276" w:lineRule="auto"/>
        <w:ind w:left="72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Tout le personnel impliqué dans le travail doit être conscient des protocoles de protection des données et les implications pour la sécurité des données sensibles.</w:t>
      </w:r>
    </w:p>
    <w:p w:rsidR="00DF5723" w:rsidRPr="00DF5723" w:rsidRDefault="00DF5723" w:rsidP="00DF5723">
      <w:pPr>
        <w:spacing w:line="276" w:lineRule="auto"/>
        <w:ind w:left="72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Toutes les organisations détenant des informations concernant les enfants doivent disposer d’une politique écrite du principe de protection des données, sur la base du principe de la confidentialité, qui dans l’idéal doit être intégrée au sein d’une politique de protection de l’enfant plus globale de l’organisation. Une obligation à respecter cette politique doit être mentionnée dans les contrats du personnel.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Tous les enfants ayant donné des informations doivent recevoir un code sur la base d’un système standard approuvé. Le format peut indiquer des zones d’identification ou d’origine, mais doit garantir l’anonymat de l’enfant. Le code doit être utilisé pour faire allusion au dossier de l’enfant verbalement, sur papier ou par voie électronique (y compris dans les documents Word, les courriers électroniques, les conversations sur Skype, etc.) au lieu de recourir à une information identifiable quelconque tel que le nom ou la date de naissance. Tous les fichiers doivent être stockés selon le code attribué.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L’accès aux informations sur les enfants doit être limité uniquement à ceux qui ont besoin de les connaître et à quiconque les enfants acceptent de leur en faire part.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Les personnes qui collectent les informations doivent obtenir un consentement éclairé des enfants (et/ ou de leurs parents/ tuteurs) de préférence par écrit. Lorsque les enfants sont trop jeunes (souvent moins de 15 ans) pour consentir, leur accord éclairé doit être obtenu (c’est-à-dire leur volonté de participer aux services) pendant que les parents ou les personnes en charge donnent leur consentement. Le processus de l’accord/ du consentement éclairé doit inclure l’explication à l’enfant (et à leur parent/tuteur, s’il y a lieu) les raisons exactes pour lesquelles ils collectent les informations, comment elles seront utilisées et qui les utilisera. Les informations doivent être partagées dans langage et des formats correspondants à l’âge et la capacité de compréhension de l’enfant. L’enfant (et le parent /le tuteur) doit avoir l’opportunité de poser des questions. Dans les cas où il </w:t>
      </w:r>
      <w:proofErr w:type="gramStart"/>
      <w:r w:rsidRPr="00DF5723">
        <w:rPr>
          <w:rFonts w:asciiTheme="majorHAnsi" w:hAnsiTheme="majorHAnsi" w:cs="Arial"/>
          <w:lang w:val="fr-FR"/>
        </w:rPr>
        <w:t>existent</w:t>
      </w:r>
      <w:proofErr w:type="gramEnd"/>
      <w:r w:rsidRPr="00DF5723">
        <w:rPr>
          <w:rFonts w:asciiTheme="majorHAnsi" w:hAnsiTheme="majorHAnsi" w:cs="Arial"/>
          <w:lang w:val="fr-FR"/>
        </w:rPr>
        <w:t xml:space="preserve"> des lois de déclaration obligatoire et sont en vigueur, les prestataires doivent expliquer ces obstacles sur la confidentialité lors de l’obtention du consentement. Même face à des enfants très jeunes (c’est-à-dire moins de 5 ans), les efforts doivent être effectués pour partager et expliquer les informations de façon appropriée.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jc w:val="left"/>
        <w:rPr>
          <w:rFonts w:asciiTheme="majorHAnsi" w:hAnsiTheme="majorHAnsi" w:cs="Arial"/>
          <w:lang w:val="fr-FR"/>
        </w:rPr>
      </w:pPr>
      <w:r w:rsidRPr="00DF5723">
        <w:rPr>
          <w:rFonts w:asciiTheme="majorHAnsi" w:hAnsiTheme="majorHAnsi" w:cs="Arial"/>
          <w:lang w:val="fr-FR"/>
        </w:rPr>
        <w:t xml:space="preserve">Les enfants doivent avoir l’opportunité de relever toute information qu’ils ne souhaitent pas dévoiler à une personne particulière. Par exemple, ils peuvent désirer que leur famille ne soient pas informées d’informations personnelles qu’ils préfèrent communiquer face à face ou pas du tout. </w:t>
      </w:r>
    </w:p>
    <w:p w:rsidR="00DF5723" w:rsidRPr="00DF5723" w:rsidRDefault="00DF5723" w:rsidP="00DF5723">
      <w:pPr>
        <w:pStyle w:val="ListParagraph"/>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Dans des cas exceptionnels, les informations dévoilées par les enfants peuvent être partagées contre leur volonté, notamment si après évaluation minutieuse, il est dans l’intérêt supérieur de l’enfant de le faire. Toutefois les raisons de le faire doivent absolument être expliquées aux enfants en de termes clairs. Il n’existe pas de règle stricte pour dévoiler les informations partagées par un enfant. Mais, généralement, les informations doivent être partagées lorsque l’enfant ou une autre personne sont en danger. En raison de sa subjectivité, chaque dossier doit être considéré individuellement et les décisions relatives à la publication des informations doivent être prises au niveau des plus hautes instances de l’organisation ou des organisations impliqués. </w:t>
      </w:r>
    </w:p>
    <w:p w:rsidR="00DF5723" w:rsidRPr="00DF5723" w:rsidRDefault="00DF5723" w:rsidP="00DF5723">
      <w:pPr>
        <w:spacing w:line="276" w:lineRule="auto"/>
        <w:ind w:left="36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b/>
          <w:lang w:val="fr-FR"/>
        </w:rPr>
      </w:pPr>
      <w:r w:rsidRPr="00DF5723">
        <w:rPr>
          <w:rFonts w:asciiTheme="majorHAnsi" w:hAnsiTheme="majorHAnsi" w:cs="Arial"/>
          <w:lang w:val="fr-FR"/>
        </w:rPr>
        <w:t xml:space="preserve">Dans certains contextes, il existe des </w:t>
      </w:r>
      <w:r w:rsidRPr="00DF5723">
        <w:rPr>
          <w:rFonts w:asciiTheme="majorHAnsi" w:hAnsiTheme="majorHAnsi" w:cs="Arial"/>
          <w:b/>
          <w:bCs/>
          <w:lang w:val="fr-FR"/>
        </w:rPr>
        <w:t xml:space="preserve">lois relatives à la déclaration obligatoire </w:t>
      </w:r>
      <w:r w:rsidRPr="00DF5723">
        <w:rPr>
          <w:rFonts w:asciiTheme="majorHAnsi" w:hAnsiTheme="majorHAnsi" w:cs="Arial"/>
          <w:lang w:val="fr-FR"/>
        </w:rPr>
        <w:t xml:space="preserve">qui exigent des prestataires de dénoncer des cas d’abus en cours ou suspectés à l’organisme central, limitant ainsi la confidentialité entre les organisations et leurs clients. Lorsque ces lois existent et sont en vigueur, elles doivent être expliquées à l’enfant (et/ou le tuteur) durant le processus de consentement éclairé. Dans certains cas, les systèmes de déclaration obligatoire peuvent être défaillants (par exemple, en raison du manque de procédures et de directives claires, manque de capacité à répondre, etc.) et peuvent par la suite compromettre la sécurité des enfants et des familles, particulièrement dans les situations d’urgence. Les prestataires peuvent alors considérer la sécurité et l’intérêt supérieur de l’enfant ainsi que les éventuelles implications juridiques de la non-déclaration, afin de déterminer les étapes appropriées. </w:t>
      </w:r>
      <w:r w:rsidRPr="00DF5723">
        <w:rPr>
          <w:rFonts w:asciiTheme="majorHAnsi" w:hAnsiTheme="majorHAnsi" w:cs="Arial"/>
          <w:b/>
          <w:bCs/>
          <w:lang w:val="fr-FR"/>
        </w:rPr>
        <w:t>Les décisions concernant le respect des lois relatives à la déclaration obligatoire doivent être prises par les plus hautes instances de l’organisation impliquée, pour la protection des travailleurs.</w:t>
      </w:r>
    </w:p>
    <w:p w:rsidR="00DF5723" w:rsidRPr="00DF5723" w:rsidRDefault="00DF5723" w:rsidP="00DF5723">
      <w:pPr>
        <w:pStyle w:val="ListParagraph"/>
        <w:rPr>
          <w:rFonts w:asciiTheme="majorHAnsi" w:hAnsiTheme="majorHAnsi" w:cs="Arial"/>
          <w:b/>
          <w:lang w:val="fr-FR"/>
        </w:rPr>
      </w:pPr>
    </w:p>
    <w:p w:rsidR="00DF5723" w:rsidRPr="00DF5723" w:rsidRDefault="00DF5723" w:rsidP="00DF5723">
      <w:pPr>
        <w:spacing w:line="276" w:lineRule="auto"/>
        <w:ind w:left="720"/>
        <w:rPr>
          <w:rFonts w:asciiTheme="majorHAnsi" w:hAnsiTheme="majorHAnsi" w:cs="Arial"/>
          <w:b/>
          <w:lang w:val="fr-FR"/>
        </w:rPr>
      </w:pPr>
      <w:r w:rsidRPr="00DF5723">
        <w:rPr>
          <w:rFonts w:asciiTheme="majorHAnsi" w:hAnsiTheme="majorHAnsi" w:cs="Arial"/>
          <w:b/>
          <w:lang w:val="fr-FR"/>
        </w:rPr>
        <w:br/>
      </w: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Après avoir collecté les informations, elles doivent être transmises à une personne tel qu’un responsable directe ou une organisation partenaire, désignée pour les recevoir, ceci à des fins clairement définies. Les lignes de partage d’informations doivent être clairement définies et comprises par tout le personnel. Le passage des informations entre les différentes organisations exige que toutes les organisations concernées se conforment aux protocoles standard de protection des données.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Les enfants ont le droit d’accéder et d’étudier les informations disponibles à leur sujet. Les organisations qui disposent des informations doivent par conséquent prendre des dispositions pour leur permettre d’accéder à leurs informations quand et comme ils le souhaitent.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 personnel qui travaille directement avec les enfants doit avoir l’occasion de parler des dossiers avec leur superviseur pour leur propre bien-être. Durant les comptes rendus, les informations dévoilées par le personnel doivent être discutées de façon anonyme. Si nécessaire, la rupture de l’anonymat doit se faire en présence de la personne désignée pour recevoir les informations et conformément à l’intérêt supérieur des personnes concernés. </w:t>
      </w:r>
    </w:p>
    <w:p w:rsidR="00DF5723" w:rsidRPr="00DF5723" w:rsidRDefault="00DF5723" w:rsidP="00DF5723">
      <w:pPr>
        <w:pStyle w:val="ListParagraph"/>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Il est important pour les responsables de s’assurer que les protocoles de protection des données sont respectés, à travers un contrôle régulier et le conseil au personnel et sont mises à jour si besoin (par exemple en cas de modifications du contexte).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b/>
          <w:lang w:val="fr-FR"/>
        </w:rPr>
      </w:pPr>
      <w:r w:rsidRPr="00DF5723">
        <w:rPr>
          <w:rFonts w:asciiTheme="majorHAnsi" w:hAnsiTheme="majorHAnsi" w:cs="Arial"/>
          <w:b/>
          <w:bCs/>
          <w:lang w:val="fr-FR"/>
        </w:rPr>
        <w:t>Sécurisation des dossiers papier</w:t>
      </w: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Chaque dossier doit être conservé dans un dossier individuel, avec le code individuel du cas clairement marqué sur la partie externe du dossier. </w:t>
      </w:r>
      <w:r w:rsidRPr="00DF5723">
        <w:rPr>
          <w:rFonts w:asciiTheme="majorHAnsi" w:hAnsiTheme="majorHAnsi" w:cs="Arial"/>
          <w:b/>
          <w:bCs/>
          <w:i/>
          <w:iCs/>
          <w:lang w:val="fr-FR"/>
        </w:rPr>
        <w:t>Il est impératif</w:t>
      </w:r>
      <w:r w:rsidRPr="00DF5723">
        <w:rPr>
          <w:rFonts w:asciiTheme="majorHAnsi" w:hAnsiTheme="majorHAnsi" w:cs="Arial"/>
          <w:lang w:val="fr-FR"/>
        </w:rPr>
        <w:t xml:space="preserve"> que le nom de l’enfant n’apparaisse pas sur la partie externe du dossier.</w:t>
      </w:r>
    </w:p>
    <w:p w:rsidR="00DF5723" w:rsidRPr="00DF5723" w:rsidRDefault="00DF5723" w:rsidP="00DF5723">
      <w:pPr>
        <w:spacing w:line="276" w:lineRule="auto"/>
        <w:ind w:left="36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Les dossiers papier doivent être conservés dans un endroit sûr, et être uniquement accessibles au responsable de l’information. Habituellement cela revient à les conserver dans des tiroirs à dossiers suspendus qui se ferment à clé et dont les clés seront gardées par le responsable de l’information. Personne d’autre ne doit avoir accès à ces informations sans permission.</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Les dossiers papier doivent être transférés en main propre entre les responsables de l’information. Au cours du transfert, les dossiers doivent être gardés dans une boite scellée ou une enveloppe scellée. Dans certaines circonstances exceptionnelles, le responsable de la gestion de l’enfant peut désigner un membre du personnel qui n’est pas concerné par la protection de l’enfance pour effectuer cette tâche. Dans de telles circonstances, le membre du personnel choisi peut être informé sur les protocoles de protection des données et les signer. </w:t>
      </w:r>
    </w:p>
    <w:p w:rsidR="00DF5723" w:rsidRPr="00DF5723" w:rsidRDefault="00DF5723" w:rsidP="00DF5723">
      <w:pPr>
        <w:pStyle w:val="ListParagraph"/>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Les documents originaux (comme les actes de naissance) doivent être scannés et rendus à l’enfant. Les documents originaux ne doivent pas être conservés dans des dossiers papier afin de pouvoir être détruits sans hésitation en cas d’évacuation/de relocalisation d’urgence. </w:t>
      </w:r>
    </w:p>
    <w:p w:rsidR="00DF5723" w:rsidRPr="00DF5723" w:rsidRDefault="00DF5723" w:rsidP="00DF5723">
      <w:pPr>
        <w:pStyle w:val="ListParagraph"/>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Les dossiers papier et/ou les dossiers suspendus doivent être marqués suivant un système de codage par couleur en fonction de la sensibilité des données contenues, suivant par conséquent l’ordre de priorité selon lequel ils doivent être retirés/détruits en cas d’évacuation/de relocalisation d’urgence.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Les pièces contenant des informations papier ou numériques doivent rester fermées à clé lorsque le responsable de l’information s’absente.</w:t>
      </w:r>
    </w:p>
    <w:p w:rsidR="00DF5723" w:rsidRPr="00DF5723" w:rsidRDefault="00DF5723" w:rsidP="00DF5723">
      <w:pPr>
        <w:spacing w:line="276" w:lineRule="auto"/>
        <w:rPr>
          <w:rFonts w:asciiTheme="majorHAnsi" w:hAnsiTheme="majorHAnsi" w:cs="Arial"/>
          <w:b/>
          <w:lang w:val="fr-FR"/>
        </w:rPr>
      </w:pPr>
    </w:p>
    <w:p w:rsidR="00DF5723" w:rsidRPr="00DF5723" w:rsidRDefault="00DF5723" w:rsidP="00DF5723">
      <w:pPr>
        <w:spacing w:line="276" w:lineRule="auto"/>
        <w:rPr>
          <w:rFonts w:asciiTheme="majorHAnsi" w:hAnsiTheme="majorHAnsi" w:cs="Arial"/>
          <w:b/>
          <w:lang w:val="fr-FR"/>
        </w:rPr>
      </w:pPr>
      <w:r w:rsidRPr="00DF5723">
        <w:rPr>
          <w:rFonts w:asciiTheme="majorHAnsi" w:hAnsiTheme="majorHAnsi" w:cs="Arial"/>
          <w:b/>
          <w:bCs/>
          <w:lang w:val="fr-FR"/>
        </w:rPr>
        <w:t>Sécurisation des données électroniques</w:t>
      </w: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Les ordinateurs doivent toujours avoir un antivirus à jour pour éviter la corruption des données et la perte d’information.</w:t>
      </w:r>
    </w:p>
    <w:p w:rsidR="00DF5723" w:rsidRPr="00DF5723" w:rsidRDefault="00DF5723" w:rsidP="00DF5723">
      <w:pPr>
        <w:spacing w:line="276" w:lineRule="auto"/>
        <w:ind w:left="72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Toutes les informations numériques concernant les enfants doivent être protégées par un mot de passe qui doit être régulièrement changé. Qu’elles soient transférées via internet ou une clé USB, les données doivent être cryptées ou protégées par un code. Les clés USB doivent être protégées par un mot de passe et échangées en mains propres entre les responsables de l’information, le dossier doit être supprimé immédiatement après le transfert. Rassurez-vous que le dossier </w:t>
      </w:r>
      <w:proofErr w:type="gramStart"/>
      <w:r w:rsidRPr="00DF5723">
        <w:rPr>
          <w:rFonts w:asciiTheme="majorHAnsi" w:hAnsiTheme="majorHAnsi" w:cs="Arial"/>
          <w:lang w:val="fr-FR"/>
        </w:rPr>
        <w:t>est</w:t>
      </w:r>
      <w:proofErr w:type="gramEnd"/>
      <w:r w:rsidRPr="00DF5723">
        <w:rPr>
          <w:rFonts w:asciiTheme="majorHAnsi" w:hAnsiTheme="majorHAnsi" w:cs="Arial"/>
          <w:lang w:val="fr-FR"/>
        </w:rPr>
        <w:t xml:space="preserve"> définitivement supprimé de la corbeille de votre ordinateur. </w:t>
      </w:r>
    </w:p>
    <w:p w:rsidR="00DF5723" w:rsidRPr="00DF5723" w:rsidRDefault="00DF5723" w:rsidP="00DF5723">
      <w:pPr>
        <w:spacing w:line="276" w:lineRule="auto"/>
        <w:ind w:left="36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Les données doivent être sauvegardées chaque semaine dans deux emplacements de secours au moins : la base de données interne et un dossier sécurisé externe dans un emplacement centralisé préétabli. La sauvegarde externe permet de ne pas perdre les données même si la base de données principale vient à être endommagée (à cause d’une inondation par exemple). Cela signifie également que la base de données principale peut être détruite au cours d’une évacuation ou d’une relocalisation d’urgence sans que les données électroniques ne soient définitivement perdues. La sauvegarde interne consiste en un disque dur externe conservé dans un tiroir fermé à clé. La sauvegarde externe consiste en l’envoi par courriel de la base de données à un destinataire précis dans un dossier compressé protégé par un mot de passe.  </w:t>
      </w:r>
    </w:p>
    <w:p w:rsidR="00DF5723" w:rsidRPr="00DF5723" w:rsidRDefault="00DF5723" w:rsidP="00DF5723">
      <w:pPr>
        <w:spacing w:line="276" w:lineRule="auto"/>
        <w:ind w:left="360"/>
        <w:rPr>
          <w:rFonts w:asciiTheme="majorHAnsi" w:hAnsiTheme="majorHAnsi" w:cs="Arial"/>
          <w:lang w:val="fr-FR"/>
        </w:rPr>
      </w:pPr>
    </w:p>
    <w:p w:rsidR="00DF5723" w:rsidRPr="00DF5723" w:rsidRDefault="00DF5723" w:rsidP="00DF5723">
      <w:pPr>
        <w:spacing w:line="276" w:lineRule="auto"/>
        <w:rPr>
          <w:rFonts w:asciiTheme="majorHAnsi" w:hAnsiTheme="majorHAnsi" w:cs="Arial"/>
          <w:b/>
          <w:lang w:val="fr-FR"/>
        </w:rPr>
      </w:pPr>
      <w:r w:rsidRPr="00DF5723">
        <w:rPr>
          <w:rFonts w:asciiTheme="majorHAnsi" w:hAnsiTheme="majorHAnsi" w:cs="Arial"/>
          <w:b/>
          <w:bCs/>
          <w:lang w:val="fr-FR"/>
        </w:rPr>
        <w:t>Planification d’une évacuation ou d’un relogement d’urgence</w:t>
      </w: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En cas de d’évacuation ou de relocalisation d’urgence, la direction doit s’assurer que les ordinateurs dans lesquels les données sont conservées, les systèmes de sauvegarde et les dossiers papier sont mis en lieu sûr. Lorsqu’il n’est pas possible de déplacer les fichiers de base de données et les dossiers papier, la direction doit s’assurer que les fichiers sont supprimés et les papiers brûlés. Les informations conservées dans les systèmes de sauvegarde deviennent alors l’unique source d’information sur les enfants. Il faut noter que dans certaines circonstances il peut s’avérer inutile de détruire les dossiers ; dans ce cas, il faut s’assurer qu’ils sont conservés en toute sécurité et protégés pendant la période de l’évacuation ou du relocalisation. Cette décision doit être prise par la direction. </w:t>
      </w:r>
    </w:p>
    <w:p w:rsidR="00DF5723" w:rsidRPr="00DF5723" w:rsidRDefault="00DF5723" w:rsidP="00DF5723">
      <w:pPr>
        <w:spacing w:line="276" w:lineRule="auto"/>
        <w:ind w:left="72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Un plan clair d’évacuation/de relocalisation doit être élaboré, comprenant un « schéma de responsabilisation » qui détermine la personne qui a la responsabilité de prendre les décisions concernant le retrait ou la destruction des données (électroniques et papier). Ce plan doit être inclus dans le plan standard d’évacuation/relocalisation de l’organisation par les responsables de la sécurité/les cadres.</w:t>
      </w:r>
    </w:p>
    <w:p w:rsidR="00DF5723" w:rsidRPr="00DF5723" w:rsidRDefault="00DF5723" w:rsidP="00DF5723">
      <w:pPr>
        <w:pStyle w:val="ListParagraph"/>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Le responsable national, le responsable de la sécurité, le responsable des technologies d’information, l’équipe dirigeante et le l’équipe de la protection de l’enfance doivent connaître dans les détails leur responsabilité individuelle dans le plan d’évacuation ou de relocalisation et être conscients de la nature sensible des données collectées. Un briefing sur le plan d’évacuation doit faire partie de la liste de contrôle standard du personnel concerné.</w:t>
      </w:r>
    </w:p>
    <w:p w:rsidR="00DF5723" w:rsidRPr="00DF5723" w:rsidRDefault="00DF5723" w:rsidP="00DF5723">
      <w:pPr>
        <w:pStyle w:val="ListParagraph"/>
        <w:spacing w:line="276" w:lineRule="auto"/>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 xml:space="preserve">Des simulations d’évacuation/de relocalisation doivent être effectuées pour s’assurer que chaque individu connaît son rôle et est capable d’agir rapidement en cas d’évacuation/ relocalisation d’urgence. En cas de détérioration de la situation sécuritaire, les plans d’évacuation/ relocalisation doivent être revus - et si nécessaire réévalués - par les cadres et le personnel en charge de la sécurité. </w:t>
      </w:r>
    </w:p>
    <w:p w:rsidR="00DF5723" w:rsidRPr="00DF5723" w:rsidRDefault="00DF5723" w:rsidP="00DF5723">
      <w:pPr>
        <w:spacing w:line="276" w:lineRule="auto"/>
        <w:rPr>
          <w:rFonts w:asciiTheme="majorHAnsi" w:hAnsiTheme="majorHAnsi" w:cs="Arial"/>
          <w:lang w:val="fr-FR"/>
        </w:rPr>
      </w:pPr>
    </w:p>
    <w:p w:rsidR="00DF5723" w:rsidRPr="00DF5723" w:rsidRDefault="00DF5723" w:rsidP="00DF5723">
      <w:pPr>
        <w:spacing w:line="276" w:lineRule="auto"/>
        <w:rPr>
          <w:rFonts w:asciiTheme="majorHAnsi" w:hAnsiTheme="majorHAnsi" w:cs="Arial"/>
          <w:b/>
          <w:lang w:val="fr-FR"/>
        </w:rPr>
      </w:pPr>
      <w:r w:rsidRPr="00DF5723">
        <w:rPr>
          <w:rFonts w:asciiTheme="majorHAnsi" w:hAnsiTheme="majorHAnsi" w:cs="Arial"/>
          <w:b/>
          <w:bCs/>
          <w:lang w:val="fr-FR"/>
        </w:rPr>
        <w:t>Les organisations leaders</w:t>
      </w: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Dans un réseau inter-agences, les organisations leaders vérifient que toutes les autres organisations ont mis en place des protocoles appropriés de protection des données, y compris des plans d’évacuation et de relocalisation.</w:t>
      </w:r>
    </w:p>
    <w:p w:rsidR="00DF5723" w:rsidRPr="00DF5723" w:rsidRDefault="00DF5723" w:rsidP="00DF5723">
      <w:pPr>
        <w:spacing w:line="276" w:lineRule="auto"/>
        <w:ind w:left="720"/>
        <w:rPr>
          <w:rFonts w:asciiTheme="majorHAnsi" w:hAnsiTheme="majorHAnsi" w:cs="Arial"/>
          <w:lang w:val="fr-FR"/>
        </w:rPr>
      </w:pPr>
    </w:p>
    <w:p w:rsidR="00DF5723" w:rsidRPr="00DF5723" w:rsidRDefault="00DF5723" w:rsidP="00DF5723">
      <w:pPr>
        <w:numPr>
          <w:ilvl w:val="0"/>
          <w:numId w:val="1"/>
        </w:numPr>
        <w:spacing w:line="276" w:lineRule="auto"/>
        <w:rPr>
          <w:rFonts w:asciiTheme="majorHAnsi" w:hAnsiTheme="majorHAnsi" w:cs="Arial"/>
          <w:lang w:val="fr-FR"/>
        </w:rPr>
      </w:pPr>
      <w:r w:rsidRPr="00DF5723">
        <w:rPr>
          <w:rFonts w:asciiTheme="majorHAnsi" w:hAnsiTheme="majorHAnsi" w:cs="Arial"/>
          <w:lang w:val="fr-FR"/>
        </w:rPr>
        <w:t>En cas d’évacuation/ relocalisation</w:t>
      </w:r>
      <w:r w:rsidRPr="00DF5723" w:rsidDel="00702D77">
        <w:rPr>
          <w:rFonts w:asciiTheme="majorHAnsi" w:hAnsiTheme="majorHAnsi" w:cs="Arial"/>
          <w:lang w:val="fr-FR"/>
        </w:rPr>
        <w:t xml:space="preserve"> </w:t>
      </w:r>
      <w:r w:rsidRPr="00DF5723">
        <w:rPr>
          <w:rFonts w:asciiTheme="majorHAnsi" w:hAnsiTheme="majorHAnsi" w:cs="Arial"/>
          <w:lang w:val="fr-FR"/>
        </w:rPr>
        <w:t>d’urgence, les organisations leaders doivent s’organiser avec les autres organisations du réseau, pour s’assurer que toutes les organisations sont capables d’évacuer sans compromettre la sécurité et la confidentialité des données.</w:t>
      </w:r>
    </w:p>
    <w:p w:rsidR="00DF5723" w:rsidRPr="00DF5723" w:rsidRDefault="00DF5723" w:rsidP="00DF5723">
      <w:pPr>
        <w:spacing w:line="276" w:lineRule="auto"/>
        <w:ind w:left="720"/>
        <w:rPr>
          <w:rFonts w:asciiTheme="majorHAnsi" w:hAnsiTheme="majorHAnsi" w:cs="Arial"/>
          <w:lang w:val="fr-FR"/>
        </w:rPr>
      </w:pPr>
    </w:p>
    <w:p w:rsidR="00EB6EB6" w:rsidRPr="00DF5723" w:rsidRDefault="00DF5723" w:rsidP="00DF5723">
      <w:pPr>
        <w:rPr>
          <w:rFonts w:asciiTheme="majorHAnsi" w:hAnsiTheme="majorHAnsi"/>
        </w:rPr>
      </w:pPr>
      <w:r w:rsidRPr="00DF5723">
        <w:rPr>
          <w:rFonts w:asciiTheme="majorHAnsi" w:hAnsiTheme="majorHAnsi" w:cs="Arial"/>
          <w:lang w:val="fr-FR"/>
        </w:rPr>
        <w:t>Les organisations leaders doivent contacter le comité directeur et/ou le coordinateur de projet IA CP IMS dès que possible pour les alerter de l’évacuation/de la relocalisation</w:t>
      </w:r>
      <w:r w:rsidRPr="00DF5723" w:rsidDel="00702D77">
        <w:rPr>
          <w:rFonts w:asciiTheme="majorHAnsi" w:hAnsiTheme="majorHAnsi" w:cs="Arial"/>
          <w:lang w:val="fr-FR"/>
        </w:rPr>
        <w:t xml:space="preserve"> </w:t>
      </w:r>
      <w:r w:rsidRPr="00DF5723">
        <w:rPr>
          <w:rFonts w:asciiTheme="majorHAnsi" w:hAnsiTheme="majorHAnsi" w:cs="Arial"/>
          <w:lang w:val="fr-FR"/>
        </w:rPr>
        <w:t>et demander le soutien nécessaire.</w:t>
      </w:r>
    </w:p>
    <w:sectPr w:rsidR="00EB6EB6" w:rsidRPr="00DF5723" w:rsidSect="005C793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723" w:rsidRDefault="00DF5723" w:rsidP="00DF5723">
      <w:r>
        <w:separator/>
      </w:r>
    </w:p>
  </w:endnote>
  <w:endnote w:type="continuationSeparator" w:id="0">
    <w:p w:rsidR="00DF5723" w:rsidRDefault="00DF5723" w:rsidP="00DF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723" w:rsidRDefault="00DF5723" w:rsidP="00DF5723">
      <w:r>
        <w:separator/>
      </w:r>
    </w:p>
  </w:footnote>
  <w:footnote w:type="continuationSeparator" w:id="0">
    <w:p w:rsidR="00DF5723" w:rsidRDefault="00DF5723" w:rsidP="00DF5723">
      <w:r>
        <w:continuationSeparator/>
      </w:r>
    </w:p>
  </w:footnote>
  <w:footnote w:id="1">
    <w:p w:rsidR="00DF5723" w:rsidRDefault="00DF5723" w:rsidP="00DF5723">
      <w:pPr>
        <w:pStyle w:val="FootnoteText"/>
      </w:pPr>
      <w:r w:rsidRPr="004D6490">
        <w:rPr>
          <w:rStyle w:val="FootnoteReference"/>
        </w:rPr>
        <w:footnoteRef/>
      </w:r>
      <w:r>
        <w:rPr>
          <w:rFonts w:cs="Arial"/>
          <w:lang w:val="fr-FR"/>
        </w:rPr>
        <w:t xml:space="preserve"> Ces principes sont soulignés dans la Convention des Nations Unies relative aux droits de l’enfant et la Charte africaine des droits et du bien-être de l’enfant adoptée par l’Organisation de l’unité africaine.  </w:t>
      </w:r>
    </w:p>
  </w:footnote>
  <w:footnote w:id="2">
    <w:p w:rsidR="00DF5723" w:rsidRDefault="00DF5723" w:rsidP="00DF5723">
      <w:pPr>
        <w:pStyle w:val="FootnoteText"/>
      </w:pPr>
      <w:r>
        <w:rPr>
          <w:rStyle w:val="FootnoteReference"/>
        </w:rPr>
        <w:footnoteRef/>
      </w:r>
      <w:r>
        <w:rPr>
          <w:rFonts w:cs="Arial"/>
          <w:lang w:val="fr-FR"/>
        </w:rPr>
        <w:t xml:space="preserve"> L’âge peut être adapté selon la maturité de l’enfant.</w:t>
      </w:r>
    </w:p>
  </w:footnote>
  <w:footnote w:id="3">
    <w:p w:rsidR="00DF5723" w:rsidRDefault="00DF5723" w:rsidP="00DF5723">
      <w:pPr>
        <w:pStyle w:val="FootnoteText"/>
      </w:pPr>
      <w:r>
        <w:rPr>
          <w:rStyle w:val="FootnoteReference"/>
        </w:rPr>
        <w:footnoteRef/>
      </w:r>
      <w:r>
        <w:rPr>
          <w:rFonts w:cs="Arial"/>
          <w:lang w:val="fr-FR"/>
        </w:rPr>
        <w:t xml:space="preserve"> Ibid.</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D420C"/>
    <w:multiLevelType w:val="hybridMultilevel"/>
    <w:tmpl w:val="5EF2FC8C"/>
    <w:lvl w:ilvl="0" w:tplc="F7922678">
      <w:start w:val="1"/>
      <w:numFmt w:val="decimal"/>
      <w:lvlText w:val="%1."/>
      <w:lvlJc w:val="left"/>
      <w:pPr>
        <w:tabs>
          <w:tab w:val="num" w:pos="720"/>
        </w:tabs>
        <w:ind w:left="720" w:hanging="360"/>
      </w:pPr>
      <w:rPr>
        <w:rFonts w:cs="Times New Roman"/>
      </w:rPr>
    </w:lvl>
    <w:lvl w:ilvl="1" w:tplc="0CDCD0DE" w:tentative="1">
      <w:start w:val="1"/>
      <w:numFmt w:val="lowerLetter"/>
      <w:lvlText w:val="%2."/>
      <w:lvlJc w:val="left"/>
      <w:pPr>
        <w:tabs>
          <w:tab w:val="num" w:pos="1440"/>
        </w:tabs>
        <w:ind w:left="1440" w:hanging="360"/>
      </w:pPr>
      <w:rPr>
        <w:rFonts w:cs="Times New Roman"/>
      </w:rPr>
    </w:lvl>
    <w:lvl w:ilvl="2" w:tplc="681C94EE" w:tentative="1">
      <w:start w:val="1"/>
      <w:numFmt w:val="lowerRoman"/>
      <w:lvlText w:val="%3."/>
      <w:lvlJc w:val="right"/>
      <w:pPr>
        <w:tabs>
          <w:tab w:val="num" w:pos="2160"/>
        </w:tabs>
        <w:ind w:left="2160" w:hanging="180"/>
      </w:pPr>
      <w:rPr>
        <w:rFonts w:cs="Times New Roman"/>
      </w:rPr>
    </w:lvl>
    <w:lvl w:ilvl="3" w:tplc="EDC89D74" w:tentative="1">
      <w:start w:val="1"/>
      <w:numFmt w:val="decimal"/>
      <w:lvlText w:val="%4."/>
      <w:lvlJc w:val="left"/>
      <w:pPr>
        <w:tabs>
          <w:tab w:val="num" w:pos="2880"/>
        </w:tabs>
        <w:ind w:left="2880" w:hanging="360"/>
      </w:pPr>
      <w:rPr>
        <w:rFonts w:cs="Times New Roman"/>
      </w:rPr>
    </w:lvl>
    <w:lvl w:ilvl="4" w:tplc="D3A2A36C" w:tentative="1">
      <w:start w:val="1"/>
      <w:numFmt w:val="lowerLetter"/>
      <w:lvlText w:val="%5."/>
      <w:lvlJc w:val="left"/>
      <w:pPr>
        <w:tabs>
          <w:tab w:val="num" w:pos="3600"/>
        </w:tabs>
        <w:ind w:left="3600" w:hanging="360"/>
      </w:pPr>
      <w:rPr>
        <w:rFonts w:cs="Times New Roman"/>
      </w:rPr>
    </w:lvl>
    <w:lvl w:ilvl="5" w:tplc="DBAA9CBA" w:tentative="1">
      <w:start w:val="1"/>
      <w:numFmt w:val="lowerRoman"/>
      <w:lvlText w:val="%6."/>
      <w:lvlJc w:val="right"/>
      <w:pPr>
        <w:tabs>
          <w:tab w:val="num" w:pos="4320"/>
        </w:tabs>
        <w:ind w:left="4320" w:hanging="180"/>
      </w:pPr>
      <w:rPr>
        <w:rFonts w:cs="Times New Roman"/>
      </w:rPr>
    </w:lvl>
    <w:lvl w:ilvl="6" w:tplc="14C428B2" w:tentative="1">
      <w:start w:val="1"/>
      <w:numFmt w:val="decimal"/>
      <w:lvlText w:val="%7."/>
      <w:lvlJc w:val="left"/>
      <w:pPr>
        <w:tabs>
          <w:tab w:val="num" w:pos="5040"/>
        </w:tabs>
        <w:ind w:left="5040" w:hanging="360"/>
      </w:pPr>
      <w:rPr>
        <w:rFonts w:cs="Times New Roman"/>
      </w:rPr>
    </w:lvl>
    <w:lvl w:ilvl="7" w:tplc="88BC2A3C" w:tentative="1">
      <w:start w:val="1"/>
      <w:numFmt w:val="lowerLetter"/>
      <w:lvlText w:val="%8."/>
      <w:lvlJc w:val="left"/>
      <w:pPr>
        <w:tabs>
          <w:tab w:val="num" w:pos="5760"/>
        </w:tabs>
        <w:ind w:left="5760" w:hanging="360"/>
      </w:pPr>
      <w:rPr>
        <w:rFonts w:cs="Times New Roman"/>
      </w:rPr>
    </w:lvl>
    <w:lvl w:ilvl="8" w:tplc="9F3C6BC4"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723"/>
    <w:rsid w:val="005C7937"/>
    <w:rsid w:val="00DF5723"/>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723"/>
    <w:pPr>
      <w:jc w:val="both"/>
    </w:pPr>
    <w:rPr>
      <w:rFonts w:ascii="Arial" w:eastAsia="MS Mincho" w:hAnsi="Arial" w:cs="Times New Roman"/>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5723"/>
    <w:pPr>
      <w:ind w:left="720"/>
    </w:p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DF5723"/>
    <w:rPr>
      <w:sz w:val="20"/>
      <w:szCs w:val="20"/>
    </w:rPr>
  </w:style>
  <w:style w:type="character" w:customStyle="1" w:styleId="FootnoteTextChar">
    <w:name w:val="Footnote Text Char"/>
    <w:basedOn w:val="DefaultParagraphFont"/>
    <w:uiPriority w:val="99"/>
    <w:semiHidden/>
    <w:rsid w:val="00DF5723"/>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DF5723"/>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DF5723"/>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723"/>
    <w:pPr>
      <w:jc w:val="both"/>
    </w:pPr>
    <w:rPr>
      <w:rFonts w:ascii="Arial" w:eastAsia="MS Mincho" w:hAnsi="Arial" w:cs="Times New Roman"/>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5723"/>
    <w:pPr>
      <w:ind w:left="720"/>
    </w:p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DF5723"/>
    <w:rPr>
      <w:sz w:val="20"/>
      <w:szCs w:val="20"/>
    </w:rPr>
  </w:style>
  <w:style w:type="character" w:customStyle="1" w:styleId="FootnoteTextChar">
    <w:name w:val="Footnote Text Char"/>
    <w:basedOn w:val="DefaultParagraphFont"/>
    <w:uiPriority w:val="99"/>
    <w:semiHidden/>
    <w:rsid w:val="00DF5723"/>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DF5723"/>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DF572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2488</Words>
  <Characters>14187</Characters>
  <Application>Microsoft Macintosh Word</Application>
  <DocSecurity>0</DocSecurity>
  <Lines>118</Lines>
  <Paragraphs>33</Paragraphs>
  <ScaleCrop>false</ScaleCrop>
  <Company/>
  <LinksUpToDate>false</LinksUpToDate>
  <CharactersWithSpaces>16642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2014-04-26T10:52:00Z</dcterms:created>
  <dcterms:modified xsi:type="dcterms:W3CDTF">2014-04-26T10:54:00Z</dcterms:modified>
</cp:coreProperties>
</file>